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11" w:rsidRDefault="00F1682D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DCBEA" wp14:editId="5064A2F4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F33" w:rsidRDefault="00F1682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DE62B2" wp14:editId="737D2765">
                                  <wp:extent cx="939800" cy="1261745"/>
                                  <wp:effectExtent l="0" t="0" r="0" b="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126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961F33" w:rsidRDefault="00F1682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9800" cy="1261745"/>
                            <wp:effectExtent l="0" t="0" r="0" b="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126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4A11" w:rsidRDefault="00544A11">
      <w:pPr>
        <w:jc w:val="right"/>
        <w:rPr>
          <w:b/>
          <w:bCs/>
        </w:rPr>
      </w:pPr>
    </w:p>
    <w:p w:rsidR="00544A11" w:rsidRDefault="00544A11">
      <w:pPr>
        <w:jc w:val="right"/>
      </w:pPr>
    </w:p>
    <w:p w:rsidR="00544A11" w:rsidRDefault="00544A11">
      <w:pPr>
        <w:tabs>
          <w:tab w:val="left" w:pos="2160"/>
        </w:tabs>
        <w:rPr>
          <w:b/>
          <w:bCs/>
        </w:rPr>
      </w:pPr>
    </w:p>
    <w:p w:rsidR="00544A11" w:rsidRDefault="00544A11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544A11" w:rsidRDefault="00544A11">
      <w:pPr>
        <w:pStyle w:val="Heading2"/>
      </w:pPr>
    </w:p>
    <w:p w:rsidR="00544A11" w:rsidRDefault="00544A11" w:rsidP="00933203">
      <w:pPr>
        <w:tabs>
          <w:tab w:val="left" w:pos="1985"/>
        </w:tabs>
        <w:rPr>
          <w:b/>
          <w:bCs/>
        </w:rPr>
      </w:pPr>
      <w:r>
        <w:rPr>
          <w:b/>
          <w:bCs/>
        </w:rPr>
        <w:t>To:</w:t>
      </w:r>
      <w:r w:rsidR="008A29B5">
        <w:rPr>
          <w:b/>
          <w:bCs/>
        </w:rPr>
        <w:t xml:space="preserve">  </w:t>
      </w:r>
      <w:r w:rsidR="00933203">
        <w:rPr>
          <w:b/>
          <w:bCs/>
        </w:rPr>
        <w:tab/>
      </w:r>
      <w:r w:rsidR="008A29B5">
        <w:rPr>
          <w:b/>
          <w:bCs/>
        </w:rPr>
        <w:t>Council</w:t>
      </w:r>
      <w:r>
        <w:rPr>
          <w:b/>
          <w:bCs/>
        </w:rPr>
        <w:tab/>
      </w:r>
    </w:p>
    <w:p w:rsidR="00544A11" w:rsidRDefault="00544A11" w:rsidP="00933203">
      <w:pPr>
        <w:tabs>
          <w:tab w:val="left" w:pos="1985"/>
        </w:tabs>
        <w:rPr>
          <w:b/>
          <w:bCs/>
        </w:rPr>
      </w:pPr>
    </w:p>
    <w:p w:rsidR="00544A11" w:rsidRDefault="00544A11" w:rsidP="00933203">
      <w:pPr>
        <w:tabs>
          <w:tab w:val="left" w:pos="1985"/>
          <w:tab w:val="left" w:pos="6300"/>
          <w:tab w:val="left" w:pos="7380"/>
        </w:tabs>
        <w:rPr>
          <w:b/>
          <w:bCs/>
        </w:rPr>
      </w:pPr>
      <w:r>
        <w:rPr>
          <w:b/>
          <w:bCs/>
        </w:rPr>
        <w:t>Date:</w:t>
      </w:r>
      <w:r w:rsidR="008E7198">
        <w:rPr>
          <w:b/>
          <w:bCs/>
        </w:rPr>
        <w:t xml:space="preserve">  </w:t>
      </w:r>
      <w:r w:rsidR="00933203">
        <w:rPr>
          <w:b/>
          <w:bCs/>
        </w:rPr>
        <w:tab/>
      </w:r>
      <w:r w:rsidR="008E7198">
        <w:rPr>
          <w:b/>
          <w:bCs/>
        </w:rPr>
        <w:t>7 December</w:t>
      </w:r>
      <w:r w:rsidR="00933203">
        <w:rPr>
          <w:b/>
          <w:bCs/>
        </w:rPr>
        <w:t xml:space="preserve"> 2015</w:t>
      </w:r>
      <w:bookmarkStart w:id="0" w:name="_GoBack"/>
      <w:bookmarkEnd w:id="0"/>
    </w:p>
    <w:p w:rsidR="00544A11" w:rsidRDefault="00544A11" w:rsidP="00933203">
      <w:pPr>
        <w:tabs>
          <w:tab w:val="left" w:pos="1985"/>
        </w:tabs>
        <w:jc w:val="right"/>
        <w:rPr>
          <w:b/>
          <w:bCs/>
        </w:rPr>
      </w:pPr>
    </w:p>
    <w:p w:rsidR="00544A11" w:rsidRDefault="00544A11" w:rsidP="00933203">
      <w:pPr>
        <w:tabs>
          <w:tab w:val="left" w:pos="1985"/>
        </w:tabs>
        <w:rPr>
          <w:b/>
          <w:bCs/>
        </w:rPr>
      </w:pPr>
      <w:r>
        <w:rPr>
          <w:b/>
          <w:bCs/>
        </w:rPr>
        <w:t>Report of:</w:t>
      </w:r>
      <w:r w:rsidR="008A29B5">
        <w:rPr>
          <w:b/>
          <w:bCs/>
        </w:rPr>
        <w:t xml:space="preserve">  </w:t>
      </w:r>
      <w:r w:rsidR="00933203">
        <w:rPr>
          <w:b/>
          <w:bCs/>
        </w:rPr>
        <w:tab/>
      </w:r>
      <w:r w:rsidR="008A29B5">
        <w:rPr>
          <w:b/>
          <w:bCs/>
        </w:rPr>
        <w:t>Monitoring Officer</w:t>
      </w:r>
      <w:r>
        <w:rPr>
          <w:b/>
          <w:bCs/>
        </w:rPr>
        <w:tab/>
      </w:r>
    </w:p>
    <w:p w:rsidR="00544A11" w:rsidRDefault="00544A11" w:rsidP="00933203">
      <w:pPr>
        <w:tabs>
          <w:tab w:val="left" w:pos="1985"/>
        </w:tabs>
        <w:rPr>
          <w:b/>
          <w:bCs/>
        </w:rPr>
      </w:pPr>
    </w:p>
    <w:p w:rsidR="00544A11" w:rsidRDefault="00544A11" w:rsidP="00933203">
      <w:pPr>
        <w:tabs>
          <w:tab w:val="left" w:pos="1985"/>
        </w:tabs>
        <w:rPr>
          <w:b/>
          <w:bCs/>
        </w:rPr>
      </w:pPr>
      <w:r>
        <w:rPr>
          <w:b/>
          <w:bCs/>
        </w:rPr>
        <w:t>Title of Report:</w:t>
      </w:r>
      <w:r w:rsidR="004F7A3D">
        <w:rPr>
          <w:b/>
          <w:bCs/>
        </w:rPr>
        <w:t xml:space="preserve">  </w:t>
      </w:r>
      <w:r w:rsidR="00933203">
        <w:rPr>
          <w:b/>
          <w:bCs/>
        </w:rPr>
        <w:tab/>
      </w:r>
      <w:r w:rsidR="00704B04">
        <w:rPr>
          <w:b/>
          <w:bCs/>
        </w:rPr>
        <w:t xml:space="preserve">Constitutional amendments </w:t>
      </w:r>
      <w:r>
        <w:rPr>
          <w:b/>
          <w:bCs/>
        </w:rPr>
        <w:tab/>
      </w:r>
      <w:r>
        <w:rPr>
          <w:b/>
          <w:bCs/>
        </w:rPr>
        <w:tab/>
      </w:r>
    </w:p>
    <w:p w:rsidR="00544A11" w:rsidRDefault="00544A11">
      <w:pPr>
        <w:jc w:val="center"/>
        <w:rPr>
          <w:b/>
          <w:bCs/>
        </w:rPr>
      </w:pPr>
    </w:p>
    <w:p w:rsidR="00544A11" w:rsidRDefault="00544A11"/>
    <w:p w:rsidR="00544A11" w:rsidRDefault="00544A11">
      <w:pPr>
        <w:pStyle w:val="Heading1"/>
        <w:jc w:val="center"/>
        <w:rPr>
          <w:u w:val="single"/>
        </w:rPr>
      </w:pPr>
    </w:p>
    <w:p w:rsidR="00544A11" w:rsidRDefault="00544A11" w:rsidP="000A32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u w:val="single"/>
        </w:rPr>
      </w:pPr>
    </w:p>
    <w:p w:rsidR="00544A11" w:rsidRDefault="00544A11" w:rsidP="000A32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544A11" w:rsidRDefault="00544A11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544A11" w:rsidRDefault="00544A11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507A2" w:rsidRDefault="00544A11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b/>
          <w:bCs/>
        </w:rPr>
        <w:t>Purpose of report</w:t>
      </w:r>
      <w:r>
        <w:t xml:space="preserve">:  </w:t>
      </w:r>
      <w:r w:rsidR="00C22F72">
        <w:t xml:space="preserve">This report recommends changes to the Council’s </w:t>
      </w:r>
      <w:r w:rsidR="00EA2FA9">
        <w:t>C</w:t>
      </w:r>
      <w:r w:rsidR="00C22F72">
        <w:t xml:space="preserve">onstitution. </w:t>
      </w:r>
      <w:r>
        <w:tab/>
      </w:r>
    </w:p>
    <w:p w:rsidR="00544A11" w:rsidRDefault="008507A2" w:rsidP="00850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A11" w:rsidRDefault="00544A11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 xml:space="preserve">Policy Framework: </w:t>
      </w:r>
      <w:r w:rsidR="008507A2">
        <w:rPr>
          <w:bCs/>
        </w:rPr>
        <w:t>N/A</w:t>
      </w:r>
    </w:p>
    <w:p w:rsidR="00544A11" w:rsidRDefault="00544A11" w:rsidP="000A32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F7745B" w:rsidRDefault="00C22F72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48"/>
        </w:tabs>
      </w:pPr>
      <w:r>
        <w:rPr>
          <w:b/>
        </w:rPr>
        <w:t xml:space="preserve">Recommendation(s): </w:t>
      </w:r>
      <w:r w:rsidRPr="00C22F72">
        <w:t xml:space="preserve">Council is </w:t>
      </w:r>
      <w:r w:rsidR="00EA2FA9">
        <w:t xml:space="preserve">recommended </w:t>
      </w:r>
      <w:r>
        <w:t>to approve</w:t>
      </w:r>
      <w:r w:rsidR="008507A2">
        <w:t>, with immediate effect,</w:t>
      </w:r>
      <w:r>
        <w:t xml:space="preserve"> the amendments to the Constitution </w:t>
      </w:r>
      <w:r w:rsidR="00704B04">
        <w:t xml:space="preserve">as set out </w:t>
      </w:r>
      <w:r w:rsidR="000A3296">
        <w:t>in</w:t>
      </w:r>
      <w:r w:rsidR="00704B04">
        <w:t xml:space="preserve"> Appendix 1.</w:t>
      </w:r>
    </w:p>
    <w:p w:rsidR="00544A11" w:rsidRDefault="00544A11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48"/>
        </w:tabs>
        <w:rPr>
          <w:b/>
        </w:rPr>
      </w:pPr>
    </w:p>
    <w:p w:rsidR="00544A11" w:rsidRDefault="00544A11"/>
    <w:p w:rsidR="00544A11" w:rsidRDefault="00544A11">
      <w:pPr>
        <w:rPr>
          <w:b/>
          <w:u w:val="single"/>
        </w:rPr>
      </w:pPr>
      <w:r w:rsidRPr="00544A11">
        <w:rPr>
          <w:b/>
          <w:u w:val="single"/>
        </w:rPr>
        <w:t>Appendices</w:t>
      </w:r>
    </w:p>
    <w:p w:rsidR="00544A11" w:rsidRDefault="00544A11">
      <w:pPr>
        <w:rPr>
          <w:b/>
          <w:u w:val="single"/>
        </w:rPr>
      </w:pPr>
    </w:p>
    <w:p w:rsidR="00544A11" w:rsidRDefault="00F55C71">
      <w:r>
        <w:t>Appendix 1</w:t>
      </w:r>
      <w:r w:rsidR="00F47B96">
        <w:t xml:space="preserve"> -</w:t>
      </w:r>
      <w:r w:rsidR="00544A11">
        <w:t xml:space="preserve"> </w:t>
      </w:r>
      <w:r w:rsidR="00704B04">
        <w:t>Contract</w:t>
      </w:r>
      <w:r w:rsidR="00B0576B">
        <w:t xml:space="preserve"> Rules </w:t>
      </w:r>
    </w:p>
    <w:p w:rsidR="001B4FE3" w:rsidRDefault="001B4FE3">
      <w:pPr>
        <w:rPr>
          <w:b/>
          <w:u w:val="single"/>
        </w:rPr>
      </w:pPr>
    </w:p>
    <w:p w:rsidR="00544A11" w:rsidRDefault="00622206">
      <w:pPr>
        <w:rPr>
          <w:b/>
        </w:rPr>
      </w:pPr>
      <w:r>
        <w:rPr>
          <w:b/>
          <w:u w:val="single"/>
        </w:rPr>
        <w:t>Contract Rules</w:t>
      </w:r>
      <w:r>
        <w:t xml:space="preserve"> </w:t>
      </w:r>
    </w:p>
    <w:p w:rsidR="00622206" w:rsidRDefault="00622206">
      <w:pPr>
        <w:rPr>
          <w:b/>
        </w:rPr>
      </w:pPr>
    </w:p>
    <w:p w:rsidR="00524FE3" w:rsidRDefault="00572CD3" w:rsidP="00D128F1">
      <w:pPr>
        <w:numPr>
          <w:ilvl w:val="0"/>
          <w:numId w:val="1"/>
        </w:numPr>
        <w:ind w:left="567" w:hanging="567"/>
        <w:rPr>
          <w:rFonts w:cs="Arial"/>
          <w:color w:val="000000"/>
        </w:rPr>
      </w:pPr>
      <w:r>
        <w:t>Section 19 of the Constitution is reproduced, with track</w:t>
      </w:r>
      <w:r w:rsidR="004D309E">
        <w:t>ed</w:t>
      </w:r>
      <w:r>
        <w:t xml:space="preserve"> change</w:t>
      </w:r>
      <w:r w:rsidR="00B75D02">
        <w:t>s, in its entirety as Appendix 1</w:t>
      </w:r>
      <w:r>
        <w:t xml:space="preserve">. </w:t>
      </w:r>
      <w:r w:rsidR="00524FE3">
        <w:rPr>
          <w:rFonts w:cs="Arial"/>
          <w:color w:val="000000"/>
        </w:rPr>
        <w:t xml:space="preserve">The </w:t>
      </w:r>
      <w:r w:rsidR="009A033F">
        <w:rPr>
          <w:rFonts w:cs="Arial"/>
          <w:color w:val="000000"/>
        </w:rPr>
        <w:t xml:space="preserve">key </w:t>
      </w:r>
      <w:r w:rsidR="00524FE3">
        <w:rPr>
          <w:rFonts w:cs="Arial"/>
          <w:color w:val="000000"/>
        </w:rPr>
        <w:t>changes to the Contract r</w:t>
      </w:r>
      <w:r w:rsidR="009A033F">
        <w:rPr>
          <w:rFonts w:cs="Arial"/>
          <w:color w:val="000000"/>
        </w:rPr>
        <w:t>ules are</w:t>
      </w:r>
      <w:r w:rsidR="001B4FE3">
        <w:rPr>
          <w:rFonts w:cs="Arial"/>
          <w:color w:val="000000"/>
        </w:rPr>
        <w:t>:-</w:t>
      </w:r>
    </w:p>
    <w:p w:rsidR="00524FE3" w:rsidRDefault="00524FE3" w:rsidP="00524FE3">
      <w:pPr>
        <w:rPr>
          <w:rFonts w:cs="Arial"/>
          <w:color w:val="000000"/>
        </w:rPr>
      </w:pPr>
    </w:p>
    <w:p w:rsidR="009A033F" w:rsidRDefault="009A033F" w:rsidP="009A033F">
      <w:pPr>
        <w:pStyle w:val="ListParagraph"/>
        <w:numPr>
          <w:ilvl w:val="0"/>
          <w:numId w:val="14"/>
        </w:numPr>
      </w:pPr>
      <w:r>
        <w:t xml:space="preserve">Introduction of </w:t>
      </w:r>
      <w:r w:rsidR="004105F6">
        <w:t xml:space="preserve">a </w:t>
      </w:r>
      <w:r>
        <w:t xml:space="preserve">paragraph stating that the rules do not apply where the Council is using its own </w:t>
      </w:r>
      <w:r w:rsidR="003A1738">
        <w:t>employees</w:t>
      </w:r>
      <w:r>
        <w:t>, although best value should be considered.</w:t>
      </w:r>
    </w:p>
    <w:p w:rsidR="009A033F" w:rsidRDefault="009A033F" w:rsidP="009A033F">
      <w:pPr>
        <w:pStyle w:val="ListParagraph"/>
      </w:pPr>
    </w:p>
    <w:p w:rsidR="009A033F" w:rsidRDefault="009A033F" w:rsidP="009A033F">
      <w:pPr>
        <w:pStyle w:val="ListParagraph"/>
        <w:numPr>
          <w:ilvl w:val="0"/>
          <w:numId w:val="14"/>
        </w:numPr>
      </w:pPr>
      <w:r>
        <w:t xml:space="preserve">Increase of quotation threshold to £150k. This change is proposed as </w:t>
      </w:r>
      <w:r w:rsidR="003A1738">
        <w:t xml:space="preserve">accredited Procurement </w:t>
      </w:r>
      <w:r>
        <w:t xml:space="preserve">Champions </w:t>
      </w:r>
      <w:r w:rsidR="0094031E">
        <w:t xml:space="preserve">within service areas </w:t>
      </w:r>
      <w:r w:rsidR="00EA2FA9">
        <w:t xml:space="preserve">have been trained </w:t>
      </w:r>
      <w:r>
        <w:t>to</w:t>
      </w:r>
      <w:r w:rsidR="003A1738">
        <w:t xml:space="preserve"> manage</w:t>
      </w:r>
      <w:r w:rsidR="0094031E">
        <w:t xml:space="preserve"> more straight forward procurements</w:t>
      </w:r>
      <w:r w:rsidR="003A1738">
        <w:t>.</w:t>
      </w:r>
      <w:r>
        <w:t> </w:t>
      </w:r>
      <w:r w:rsidR="003A1738">
        <w:t>A</w:t>
      </w:r>
      <w:r>
        <w:t>n open tender process may be conducted if deemed appropriate instead of seeking quotes.</w:t>
      </w:r>
    </w:p>
    <w:p w:rsidR="009A033F" w:rsidRDefault="009A033F" w:rsidP="009A033F">
      <w:pPr>
        <w:pStyle w:val="ListParagraph"/>
      </w:pPr>
    </w:p>
    <w:p w:rsidR="009A033F" w:rsidRDefault="009A033F" w:rsidP="009A033F">
      <w:pPr>
        <w:pStyle w:val="ListParagraph"/>
        <w:numPr>
          <w:ilvl w:val="0"/>
          <w:numId w:val="14"/>
        </w:numPr>
      </w:pPr>
      <w:r>
        <w:t xml:space="preserve">Tenders to be sought for all contracts </w:t>
      </w:r>
      <w:r w:rsidR="0094031E">
        <w:t xml:space="preserve">over </w:t>
      </w:r>
      <w:r>
        <w:t>£150k.</w:t>
      </w:r>
    </w:p>
    <w:p w:rsidR="009A033F" w:rsidRDefault="009A033F" w:rsidP="009A033F"/>
    <w:p w:rsidR="009A033F" w:rsidRDefault="009A033F" w:rsidP="009A033F">
      <w:pPr>
        <w:pStyle w:val="ListParagraph"/>
        <w:numPr>
          <w:ilvl w:val="0"/>
          <w:numId w:val="14"/>
        </w:numPr>
      </w:pPr>
      <w:r>
        <w:lastRenderedPageBreak/>
        <w:t xml:space="preserve">Reference to the use of the </w:t>
      </w:r>
      <w:r w:rsidR="0094031E">
        <w:t>g</w:t>
      </w:r>
      <w:r>
        <w:t>overnment</w:t>
      </w:r>
      <w:r w:rsidR="0094031E">
        <w:t>’s</w:t>
      </w:r>
      <w:r>
        <w:t xml:space="preserve"> procurement portal, Contracts Finder, where opportunities </w:t>
      </w:r>
      <w:r w:rsidR="0094031E">
        <w:t xml:space="preserve">above </w:t>
      </w:r>
      <w:r>
        <w:t>£25k are advertised.</w:t>
      </w:r>
    </w:p>
    <w:p w:rsidR="009A033F" w:rsidRDefault="009A033F" w:rsidP="009A033F"/>
    <w:p w:rsidR="009A033F" w:rsidRDefault="009A033F" w:rsidP="009A033F">
      <w:pPr>
        <w:pStyle w:val="ListParagraph"/>
        <w:numPr>
          <w:ilvl w:val="0"/>
          <w:numId w:val="14"/>
        </w:numPr>
      </w:pPr>
      <w:r>
        <w:t>Increase in the threshold for use of the</w:t>
      </w:r>
      <w:r w:rsidR="004105F6">
        <w:t xml:space="preserve"> Council’s</w:t>
      </w:r>
      <w:r>
        <w:t xml:space="preserve"> procurement portal from £5k to £10k – exception to this would be where an approved list is used and quotes for works (less than £100k) under the approved list are sought in accordance with the procedure for using the approved list.</w:t>
      </w:r>
    </w:p>
    <w:p w:rsidR="009A033F" w:rsidRDefault="009A033F" w:rsidP="009A033F"/>
    <w:p w:rsidR="009A033F" w:rsidRDefault="009A033F" w:rsidP="009A033F">
      <w:pPr>
        <w:pStyle w:val="ListParagraph"/>
        <w:numPr>
          <w:ilvl w:val="0"/>
          <w:numId w:val="14"/>
        </w:numPr>
      </w:pPr>
      <w:r>
        <w:t>Increase in the value for granting exemptions from £100k to £150k.</w:t>
      </w:r>
    </w:p>
    <w:p w:rsidR="009A033F" w:rsidRDefault="009A033F" w:rsidP="009A033F"/>
    <w:p w:rsidR="009A033F" w:rsidRDefault="009A033F" w:rsidP="009A033F">
      <w:pPr>
        <w:pStyle w:val="ListParagraph"/>
        <w:numPr>
          <w:ilvl w:val="0"/>
          <w:numId w:val="14"/>
        </w:numPr>
      </w:pPr>
      <w:r>
        <w:t>Clarity on the rules regarding when contracts can be extended in terms of value (in line with the UK Public Contract Regulations).</w:t>
      </w:r>
    </w:p>
    <w:p w:rsidR="009A033F" w:rsidRDefault="009A033F" w:rsidP="009A033F"/>
    <w:p w:rsidR="009A033F" w:rsidRDefault="004105F6" w:rsidP="009A033F">
      <w:pPr>
        <w:pStyle w:val="ListParagraph"/>
        <w:numPr>
          <w:ilvl w:val="0"/>
          <w:numId w:val="14"/>
        </w:numPr>
      </w:pPr>
      <w:r>
        <w:t>Introduction of a</w:t>
      </w:r>
      <w:r w:rsidR="009A033F">
        <w:t xml:space="preserve"> new clause which provides clarity on when a contract needs to be a bespoke contract and when a contract</w:t>
      </w:r>
      <w:r w:rsidR="00FB5EA1">
        <w:t xml:space="preserve"> can</w:t>
      </w:r>
      <w:r w:rsidR="009A033F">
        <w:t xml:space="preserve"> be </w:t>
      </w:r>
      <w:proofErr w:type="gramStart"/>
      <w:r w:rsidR="00FB5EA1">
        <w:t>effected</w:t>
      </w:r>
      <w:proofErr w:type="gramEnd"/>
      <w:r w:rsidR="00FB5EA1">
        <w:t xml:space="preserve"> </w:t>
      </w:r>
      <w:r w:rsidR="009A033F">
        <w:t>via an official purchase order.</w:t>
      </w:r>
    </w:p>
    <w:p w:rsidR="009A033F" w:rsidRDefault="009A033F" w:rsidP="009A033F"/>
    <w:p w:rsidR="009A033F" w:rsidRDefault="00B73135" w:rsidP="009A033F">
      <w:pPr>
        <w:pStyle w:val="ListParagraph"/>
        <w:numPr>
          <w:ilvl w:val="0"/>
          <w:numId w:val="14"/>
        </w:numPr>
      </w:pPr>
      <w:r>
        <w:t>A r</w:t>
      </w:r>
      <w:r w:rsidR="009A033F">
        <w:t xml:space="preserve">eduction in the threshold </w:t>
      </w:r>
      <w:r>
        <w:t>required for contracts to be included in the Council’s Contracts Register from</w:t>
      </w:r>
      <w:r w:rsidR="009A033F">
        <w:t xml:space="preserve"> £10k to £5k in line with the requirements of the updated Transparency Code for Local Government.</w:t>
      </w:r>
    </w:p>
    <w:p w:rsidR="009A033F" w:rsidRDefault="009A033F" w:rsidP="009A033F"/>
    <w:p w:rsidR="009A033F" w:rsidRDefault="009A033F" w:rsidP="009A033F"/>
    <w:p w:rsidR="009A033F" w:rsidRDefault="009A033F" w:rsidP="009A033F">
      <w:pPr>
        <w:pStyle w:val="ListParagraph"/>
        <w:numPr>
          <w:ilvl w:val="0"/>
          <w:numId w:val="1"/>
        </w:numPr>
        <w:ind w:hanging="720"/>
      </w:pPr>
      <w:r>
        <w:t xml:space="preserve">The changes are </w:t>
      </w:r>
      <w:r w:rsidR="00704B04">
        <w:t>proposed</w:t>
      </w:r>
      <w:r>
        <w:t xml:space="preserve"> to bring the Contract Rules in line with legislation, as well as </w:t>
      </w:r>
      <w:r w:rsidR="00704B04">
        <w:t>adapting</w:t>
      </w:r>
      <w:r>
        <w:t xml:space="preserve"> the </w:t>
      </w:r>
      <w:r w:rsidR="00704B04">
        <w:t xml:space="preserve">Rules to the </w:t>
      </w:r>
      <w:r>
        <w:t>needs of the business.</w:t>
      </w:r>
    </w:p>
    <w:p w:rsidR="00622206" w:rsidRDefault="00622206" w:rsidP="00622206">
      <w:pPr>
        <w:ind w:left="426"/>
      </w:pPr>
    </w:p>
    <w:p w:rsidR="001B4FE3" w:rsidRDefault="001B4FE3" w:rsidP="00622206">
      <w:pPr>
        <w:ind w:left="426" w:hanging="426"/>
        <w:rPr>
          <w:b/>
          <w:u w:val="single"/>
        </w:rPr>
      </w:pPr>
    </w:p>
    <w:p w:rsidR="00544A11" w:rsidRDefault="00544A11" w:rsidP="00544A11"/>
    <w:p w:rsidR="00544A11" w:rsidRDefault="00544A11" w:rsidP="00544A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44A11" w:rsidTr="00544A11">
        <w:tc>
          <w:tcPr>
            <w:tcW w:w="8522" w:type="dxa"/>
          </w:tcPr>
          <w:p w:rsidR="00544A11" w:rsidRDefault="00544A11" w:rsidP="00544A1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544A11" w:rsidTr="00544A11">
        <w:tc>
          <w:tcPr>
            <w:tcW w:w="8522" w:type="dxa"/>
          </w:tcPr>
          <w:p w:rsidR="00544A11" w:rsidRDefault="00544A11" w:rsidP="00544A1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</w:tc>
      </w:tr>
      <w:tr w:rsidR="00544A11" w:rsidTr="00544A11">
        <w:tc>
          <w:tcPr>
            <w:tcW w:w="8522" w:type="dxa"/>
          </w:tcPr>
          <w:p w:rsidR="00544A11" w:rsidRDefault="00C22F72" w:rsidP="00544A1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Emma Griffiths</w:t>
            </w:r>
          </w:p>
        </w:tc>
      </w:tr>
      <w:tr w:rsidR="00544A11" w:rsidTr="00544A11">
        <w:tc>
          <w:tcPr>
            <w:tcW w:w="8522" w:type="dxa"/>
          </w:tcPr>
          <w:p w:rsidR="00C22F72" w:rsidRDefault="00C22F72" w:rsidP="00544A1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Lawyer</w:t>
            </w:r>
          </w:p>
          <w:p w:rsidR="00544A11" w:rsidRDefault="00C22F72" w:rsidP="00C22F7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Law &amp; Governance </w:t>
            </w:r>
          </w:p>
        </w:tc>
      </w:tr>
      <w:tr w:rsidR="00544A11" w:rsidTr="00544A11">
        <w:tc>
          <w:tcPr>
            <w:tcW w:w="8522" w:type="dxa"/>
          </w:tcPr>
          <w:p w:rsidR="00544A11" w:rsidRDefault="00C22F72" w:rsidP="00544A1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Tel:  01865 252208</w:t>
            </w:r>
            <w:r w:rsidR="00544A11">
              <w:t xml:space="preserve"> </w:t>
            </w:r>
          </w:p>
          <w:p w:rsidR="00544A11" w:rsidRDefault="00544A11" w:rsidP="00C22F7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 xml:space="preserve"> e-mail:  </w:t>
            </w:r>
            <w:r w:rsidR="00C22F72">
              <w:rPr>
                <w:color w:val="0000FF"/>
                <w:u w:val="single"/>
              </w:rPr>
              <w:t>egriffiths@oxford.gov.uk</w:t>
            </w:r>
          </w:p>
        </w:tc>
      </w:tr>
    </w:tbl>
    <w:p w:rsidR="00544A11" w:rsidRDefault="00544A11" w:rsidP="00544A11">
      <w:pPr>
        <w:rPr>
          <w:b/>
          <w:bCs/>
        </w:rPr>
      </w:pPr>
    </w:p>
    <w:p w:rsidR="00544A11" w:rsidRDefault="00544A11" w:rsidP="00544A11">
      <w:pPr>
        <w:rPr>
          <w:b/>
          <w:bCs/>
        </w:rPr>
      </w:pPr>
      <w:r>
        <w:rPr>
          <w:b/>
          <w:bCs/>
        </w:rPr>
        <w:t>Background papers: none</w:t>
      </w:r>
    </w:p>
    <w:p w:rsidR="00544A11" w:rsidRDefault="00544A11" w:rsidP="00544A11">
      <w:pPr>
        <w:rPr>
          <w:b/>
          <w:bCs/>
        </w:rPr>
      </w:pPr>
    </w:p>
    <w:p w:rsidR="00544A11" w:rsidRDefault="00544A11" w:rsidP="00544A11">
      <w:pPr>
        <w:rPr>
          <w:b/>
          <w:bCs/>
        </w:rPr>
      </w:pPr>
    </w:p>
    <w:p w:rsidR="00544A11" w:rsidRDefault="00544A11"/>
    <w:sectPr w:rsidR="00544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82" w:rsidRDefault="00594B82">
      <w:r>
        <w:separator/>
      </w:r>
    </w:p>
  </w:endnote>
  <w:endnote w:type="continuationSeparator" w:id="0">
    <w:p w:rsidR="00594B82" w:rsidRDefault="0059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8" w:rsidRDefault="00C26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33" w:rsidRDefault="00961F33">
    <w:pPr>
      <w:rPr>
        <w:sz w:val="20"/>
      </w:rPr>
    </w:pPr>
  </w:p>
  <w:p w:rsidR="00961F33" w:rsidRDefault="00961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8" w:rsidRDefault="00C26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82" w:rsidRDefault="00594B82">
      <w:r>
        <w:separator/>
      </w:r>
    </w:p>
  </w:footnote>
  <w:footnote w:type="continuationSeparator" w:id="0">
    <w:p w:rsidR="00594B82" w:rsidRDefault="0059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8" w:rsidRDefault="00C26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8" w:rsidRDefault="00C26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8" w:rsidRDefault="00C26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941"/>
    <w:multiLevelType w:val="hybridMultilevel"/>
    <w:tmpl w:val="F444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5990"/>
    <w:multiLevelType w:val="hybridMultilevel"/>
    <w:tmpl w:val="2DE4F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AE6"/>
    <w:multiLevelType w:val="hybridMultilevel"/>
    <w:tmpl w:val="E7B0C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28FE"/>
    <w:multiLevelType w:val="hybridMultilevel"/>
    <w:tmpl w:val="BAEA157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4E630B"/>
    <w:multiLevelType w:val="hybridMultilevel"/>
    <w:tmpl w:val="D9983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F1975"/>
    <w:multiLevelType w:val="hybridMultilevel"/>
    <w:tmpl w:val="B0E6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C27AC"/>
    <w:multiLevelType w:val="hybridMultilevel"/>
    <w:tmpl w:val="3600F494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">
    <w:nsid w:val="4F3C73C3"/>
    <w:multiLevelType w:val="hybridMultilevel"/>
    <w:tmpl w:val="B3CE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7DCD"/>
    <w:multiLevelType w:val="hybridMultilevel"/>
    <w:tmpl w:val="84F67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F10C1"/>
    <w:multiLevelType w:val="hybridMultilevel"/>
    <w:tmpl w:val="D8280A8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787639"/>
    <w:multiLevelType w:val="hybridMultilevel"/>
    <w:tmpl w:val="9108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80AA8"/>
    <w:multiLevelType w:val="hybridMultilevel"/>
    <w:tmpl w:val="48322E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D"/>
    <w:rsid w:val="0001673E"/>
    <w:rsid w:val="00025A2E"/>
    <w:rsid w:val="00061FDD"/>
    <w:rsid w:val="00066F20"/>
    <w:rsid w:val="00070D77"/>
    <w:rsid w:val="00071246"/>
    <w:rsid w:val="000A3296"/>
    <w:rsid w:val="000D212C"/>
    <w:rsid w:val="000E3E1B"/>
    <w:rsid w:val="000F6763"/>
    <w:rsid w:val="00160FBF"/>
    <w:rsid w:val="00184404"/>
    <w:rsid w:val="0019652A"/>
    <w:rsid w:val="001A3CA3"/>
    <w:rsid w:val="001A3E87"/>
    <w:rsid w:val="001B4FE3"/>
    <w:rsid w:val="001B7016"/>
    <w:rsid w:val="00202E1D"/>
    <w:rsid w:val="00223719"/>
    <w:rsid w:val="002350AC"/>
    <w:rsid w:val="00260431"/>
    <w:rsid w:val="00277576"/>
    <w:rsid w:val="00293304"/>
    <w:rsid w:val="002A0473"/>
    <w:rsid w:val="002B7054"/>
    <w:rsid w:val="002B74E3"/>
    <w:rsid w:val="002E1CA2"/>
    <w:rsid w:val="00337102"/>
    <w:rsid w:val="003462D2"/>
    <w:rsid w:val="00370887"/>
    <w:rsid w:val="003A1738"/>
    <w:rsid w:val="003D3660"/>
    <w:rsid w:val="004027C7"/>
    <w:rsid w:val="004105F6"/>
    <w:rsid w:val="00433AB6"/>
    <w:rsid w:val="00435325"/>
    <w:rsid w:val="004511CC"/>
    <w:rsid w:val="00455C35"/>
    <w:rsid w:val="0048652C"/>
    <w:rsid w:val="004A3759"/>
    <w:rsid w:val="004A45D5"/>
    <w:rsid w:val="004D1BF1"/>
    <w:rsid w:val="004D20D8"/>
    <w:rsid w:val="004D309E"/>
    <w:rsid w:val="004D6EB8"/>
    <w:rsid w:val="004F7A3D"/>
    <w:rsid w:val="00524FE3"/>
    <w:rsid w:val="00542CD2"/>
    <w:rsid w:val="00544A11"/>
    <w:rsid w:val="00572CD3"/>
    <w:rsid w:val="00594B82"/>
    <w:rsid w:val="005A22D7"/>
    <w:rsid w:val="005B58BB"/>
    <w:rsid w:val="005C0B95"/>
    <w:rsid w:val="005C0E56"/>
    <w:rsid w:val="005D1797"/>
    <w:rsid w:val="005E1D8B"/>
    <w:rsid w:val="005E77F7"/>
    <w:rsid w:val="00622206"/>
    <w:rsid w:val="0062361D"/>
    <w:rsid w:val="00665290"/>
    <w:rsid w:val="006B7EFC"/>
    <w:rsid w:val="006D430C"/>
    <w:rsid w:val="006E24E8"/>
    <w:rsid w:val="006E456B"/>
    <w:rsid w:val="006E55F2"/>
    <w:rsid w:val="00704B04"/>
    <w:rsid w:val="00710AE0"/>
    <w:rsid w:val="0072250F"/>
    <w:rsid w:val="007F3A1A"/>
    <w:rsid w:val="008507A2"/>
    <w:rsid w:val="00874429"/>
    <w:rsid w:val="008819E5"/>
    <w:rsid w:val="00891DE9"/>
    <w:rsid w:val="008A29B5"/>
    <w:rsid w:val="008B7806"/>
    <w:rsid w:val="008E7198"/>
    <w:rsid w:val="0091493B"/>
    <w:rsid w:val="00933203"/>
    <w:rsid w:val="0094031E"/>
    <w:rsid w:val="00942713"/>
    <w:rsid w:val="00943B84"/>
    <w:rsid w:val="00961F33"/>
    <w:rsid w:val="00976BE0"/>
    <w:rsid w:val="009A033F"/>
    <w:rsid w:val="009B0D52"/>
    <w:rsid w:val="009C243B"/>
    <w:rsid w:val="009D3584"/>
    <w:rsid w:val="009F39DB"/>
    <w:rsid w:val="00A57B85"/>
    <w:rsid w:val="00A874E8"/>
    <w:rsid w:val="00AB1D54"/>
    <w:rsid w:val="00AB7829"/>
    <w:rsid w:val="00AD5D1A"/>
    <w:rsid w:val="00B0576B"/>
    <w:rsid w:val="00B73135"/>
    <w:rsid w:val="00B75D02"/>
    <w:rsid w:val="00B766C8"/>
    <w:rsid w:val="00B95028"/>
    <w:rsid w:val="00BD254B"/>
    <w:rsid w:val="00BE6838"/>
    <w:rsid w:val="00C131EF"/>
    <w:rsid w:val="00C143D5"/>
    <w:rsid w:val="00C22F72"/>
    <w:rsid w:val="00C26788"/>
    <w:rsid w:val="00C413CC"/>
    <w:rsid w:val="00C57D68"/>
    <w:rsid w:val="00C908FE"/>
    <w:rsid w:val="00CB4514"/>
    <w:rsid w:val="00CB6453"/>
    <w:rsid w:val="00CC014B"/>
    <w:rsid w:val="00CD2166"/>
    <w:rsid w:val="00CE2F43"/>
    <w:rsid w:val="00D05712"/>
    <w:rsid w:val="00D128F1"/>
    <w:rsid w:val="00D20BFE"/>
    <w:rsid w:val="00D77895"/>
    <w:rsid w:val="00DE7B3D"/>
    <w:rsid w:val="00DF389C"/>
    <w:rsid w:val="00E1713A"/>
    <w:rsid w:val="00E360A6"/>
    <w:rsid w:val="00E64A3D"/>
    <w:rsid w:val="00E902C0"/>
    <w:rsid w:val="00E928F3"/>
    <w:rsid w:val="00EA220E"/>
    <w:rsid w:val="00EA2FA9"/>
    <w:rsid w:val="00EF02C4"/>
    <w:rsid w:val="00EF79C0"/>
    <w:rsid w:val="00F047FA"/>
    <w:rsid w:val="00F14F92"/>
    <w:rsid w:val="00F1682D"/>
    <w:rsid w:val="00F43EAF"/>
    <w:rsid w:val="00F47B96"/>
    <w:rsid w:val="00F55C71"/>
    <w:rsid w:val="00F7745B"/>
    <w:rsid w:val="00FB5EA1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02E1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67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26788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26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02E1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67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26788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26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1F6A-0697-44B0-B089-7969E015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C1DA26C9</Template>
  <TotalTime>43</TotalTime>
  <Pages>2</Pages>
  <Words>367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Thompson, Jennifer - Oxford City Council</cp:lastModifiedBy>
  <cp:revision>10</cp:revision>
  <cp:lastPrinted>2015-03-09T10:44:00Z</cp:lastPrinted>
  <dcterms:created xsi:type="dcterms:W3CDTF">2015-11-24T11:28:00Z</dcterms:created>
  <dcterms:modified xsi:type="dcterms:W3CDTF">2015-11-26T17:46:00Z</dcterms:modified>
</cp:coreProperties>
</file>